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520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6263" cy="986748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263" cy="986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Investment</w:t>
      </w:r>
      <w:r>
        <w:rPr>
          <w:spacing w:val="-8"/>
        </w:rPr>
        <w:t> </w:t>
      </w:r>
      <w:r>
        <w:rPr/>
        <w:t>Committee</w:t>
      </w:r>
      <w:r>
        <w:rPr>
          <w:spacing w:val="-7"/>
        </w:rPr>
        <w:t> </w:t>
      </w:r>
      <w:r>
        <w:rPr/>
        <w:t>Meeting</w:t>
      </w:r>
    </w:p>
    <w:p>
      <w:pPr>
        <w:pStyle w:val="BodyText"/>
        <w:spacing w:before="0"/>
        <w:rPr>
          <w:b/>
          <w:sz w:val="20"/>
        </w:rPr>
      </w:pPr>
    </w:p>
    <w:p>
      <w:pPr>
        <w:pStyle w:val="BodyText"/>
        <w:spacing w:before="12"/>
        <w:rPr>
          <w:b/>
          <w:sz w:val="18"/>
        </w:rPr>
      </w:pPr>
    </w:p>
    <w:p>
      <w:pPr>
        <w:pStyle w:val="Heading1"/>
        <w:spacing w:before="47"/>
      </w:pPr>
      <w:r>
        <w:rPr/>
        <w:t>C-1 COMMITTEE MEETING:</w:t>
      </w:r>
    </w:p>
    <w:p>
      <w:pPr>
        <w:pStyle w:val="BodyText"/>
        <w:rPr>
          <w:b/>
          <w:sz w:val="31"/>
        </w:rPr>
      </w:pPr>
    </w:p>
    <w:p>
      <w:pPr>
        <w:pStyle w:val="BodyText"/>
        <w:spacing w:line="264" w:lineRule="auto" w:before="0"/>
        <w:ind w:left="103" w:right="7644"/>
      </w:pPr>
      <w:r>
        <w:rPr/>
        <w:t>Approval of Meeting and Minutes</w:t>
      </w:r>
      <w:r>
        <w:rPr>
          <w:spacing w:val="-56"/>
        </w:rPr>
        <w:t> </w:t>
      </w:r>
      <w:r>
        <w:rPr/>
        <w:t>Investment Committee Meeting</w:t>
      </w:r>
      <w:r>
        <w:rPr>
          <w:spacing w:val="1"/>
        </w:rPr>
        <w:t> </w:t>
      </w:r>
      <w:r>
        <w:rPr/>
        <w:t>Investment</w:t>
      </w:r>
      <w:r>
        <w:rPr>
          <w:spacing w:val="-2"/>
        </w:rPr>
        <w:t> </w:t>
      </w:r>
      <w:r>
        <w:rPr/>
        <w:t>Committee</w:t>
      </w:r>
      <w:r>
        <w:rPr>
          <w:spacing w:val="-2"/>
        </w:rPr>
        <w:t> </w:t>
      </w:r>
      <w:r>
        <w:rPr/>
        <w:t>Meeting</w:t>
      </w:r>
    </w:p>
    <w:p>
      <w:pPr>
        <w:pStyle w:val="BodyText"/>
        <w:spacing w:before="3"/>
        <w:ind w:left="103"/>
      </w:pPr>
      <w:r>
        <w:rPr/>
        <w:t>Recommendation:</w:t>
      </w:r>
      <w:r>
        <w:rPr>
          <w:spacing w:val="58"/>
        </w:rPr>
        <w:t> </w:t>
      </w:r>
      <w:r>
        <w:rPr/>
        <w:t>Authorize</w:t>
      </w:r>
      <w:r>
        <w:rPr>
          <w:spacing w:val="-1"/>
        </w:rPr>
        <w:t> </w:t>
      </w:r>
      <w:r>
        <w:rPr/>
        <w:t>meetings and approve</w:t>
      </w:r>
      <w:r>
        <w:rPr>
          <w:spacing w:val="-1"/>
        </w:rPr>
        <w:t> </w:t>
      </w:r>
      <w:r>
        <w:rPr/>
        <w:t>minutes.</w:t>
      </w:r>
    </w:p>
    <w:p>
      <w:pPr>
        <w:pStyle w:val="BodyText"/>
        <w:rPr>
          <w:sz w:val="31"/>
        </w:rPr>
      </w:pPr>
    </w:p>
    <w:p>
      <w:pPr>
        <w:pStyle w:val="Heading1"/>
        <w:ind w:left="0" w:right="5238"/>
        <w:jc w:val="right"/>
      </w:pPr>
      <w:r>
        <w:rPr/>
        <w:t>ACTION ITEMS</w:t>
      </w:r>
    </w:p>
    <w:p>
      <w:pPr>
        <w:pStyle w:val="BodyText"/>
        <w:rPr>
          <w:b/>
          <w:sz w:val="31"/>
        </w:rPr>
      </w:pPr>
    </w:p>
    <w:p>
      <w:pPr>
        <w:pStyle w:val="BodyText"/>
        <w:spacing w:line="264" w:lineRule="auto" w:before="0"/>
        <w:ind w:left="103"/>
      </w:pPr>
      <w:r>
        <w:rPr/>
        <w:t>NOTE:</w:t>
      </w:r>
      <w:r>
        <w:rPr>
          <w:spacing w:val="1"/>
        </w:rPr>
        <w:t> </w:t>
      </w:r>
      <w:r>
        <w:rPr/>
        <w:t>Public comment on matters listed in this agenda will be taken at the time the item is addressed,</w:t>
      </w:r>
      <w:r>
        <w:rPr>
          <w:spacing w:val="1"/>
        </w:rPr>
        <w:t> </w:t>
      </w:r>
      <w:r>
        <w:rPr/>
        <w:t>prior to the Committee’s discussion of the item. Persons wishing to address items on the agenda should</w:t>
      </w:r>
      <w:r>
        <w:rPr>
          <w:spacing w:val="1"/>
        </w:rPr>
        <w:t> </w:t>
      </w:r>
      <w:r>
        <w:rPr/>
        <w:t>provide</w:t>
      </w:r>
      <w:r>
        <w:rPr>
          <w:spacing w:val="-3"/>
        </w:rPr>
        <w:t> </w:t>
      </w:r>
      <w:r>
        <w:rPr/>
        <w:t>written</w:t>
      </w:r>
      <w:r>
        <w:rPr>
          <w:spacing w:val="-3"/>
        </w:rPr>
        <w:t> </w:t>
      </w:r>
      <w:r>
        <w:rPr/>
        <w:t>notice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Secretary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Committee</w:t>
      </w:r>
      <w:r>
        <w:rPr>
          <w:spacing w:val="-2"/>
        </w:rPr>
        <w:t> </w:t>
      </w:r>
      <w:r>
        <w:rPr/>
        <w:t>prior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Committee’s</w:t>
      </w:r>
      <w:r>
        <w:rPr>
          <w:spacing w:val="-2"/>
        </w:rPr>
        <w:t> </w:t>
      </w:r>
      <w:r>
        <w:rPr/>
        <w:t>discussion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item</w:t>
      </w:r>
      <w:r>
        <w:rPr>
          <w:spacing w:val="-55"/>
        </w:rPr>
        <w:t> </w:t>
      </w:r>
      <w:r>
        <w:rPr/>
        <w:t>by signing in on the Public Comment Sign-In Sheet located at the back of the room.</w:t>
      </w:r>
    </w:p>
    <w:p>
      <w:pPr>
        <w:pStyle w:val="Heading1"/>
        <w:numPr>
          <w:ilvl w:val="1"/>
          <w:numId w:val="1"/>
        </w:numPr>
        <w:tabs>
          <w:tab w:pos="532" w:val="left" w:leader="none"/>
        </w:tabs>
        <w:spacing w:line="240" w:lineRule="auto" w:before="4" w:after="0"/>
        <w:ind w:left="531" w:right="0" w:hanging="429"/>
        <w:jc w:val="left"/>
      </w:pPr>
      <w:r>
        <w:rPr/>
        <w:t>INDIVIDUAL ACTION ON ANY ITEM TRAILED FROM</w:t>
      </w:r>
      <w:r>
        <w:rPr>
          <w:spacing w:val="1"/>
        </w:rPr>
        <w:t> </w:t>
      </w:r>
      <w:r>
        <w:rPr/>
        <w:t>THE CONSENT AGENDA</w:t>
      </w:r>
    </w:p>
    <w:p>
      <w:pPr>
        <w:pStyle w:val="BodyText"/>
        <w:spacing w:before="3"/>
        <w:rPr>
          <w:b/>
          <w:sz w:val="31"/>
        </w:rPr>
      </w:pPr>
    </w:p>
    <w:p>
      <w:pPr>
        <w:pStyle w:val="ListParagraph"/>
        <w:numPr>
          <w:ilvl w:val="1"/>
          <w:numId w:val="1"/>
        </w:numPr>
        <w:tabs>
          <w:tab w:pos="532" w:val="left" w:leader="none"/>
        </w:tabs>
        <w:spacing w:line="240" w:lineRule="auto" w:before="1" w:after="0"/>
        <w:ind w:left="531" w:right="0" w:hanging="429"/>
        <w:jc w:val="left"/>
        <w:rPr>
          <w:b/>
          <w:sz w:val="26"/>
        </w:rPr>
      </w:pPr>
      <w:r>
        <w:rPr>
          <w:b/>
          <w:sz w:val="26"/>
        </w:rPr>
        <w:t>PROXY VOTING POLICY REVIEW</w:t>
      </w:r>
    </w:p>
    <w:p>
      <w:pPr>
        <w:pStyle w:val="BodyText"/>
        <w:spacing w:before="32"/>
        <w:ind w:left="103"/>
      </w:pPr>
      <w:r>
        <w:rPr/>
        <w:t>Presentation</w:t>
      </w:r>
      <w:r>
        <w:rPr>
          <w:spacing w:val="-1"/>
        </w:rPr>
        <w:t> </w:t>
      </w:r>
      <w:r>
        <w:rPr/>
        <w:t>by Andrew Linberg, Joshua Russell, ISS</w:t>
      </w:r>
    </w:p>
    <w:p>
      <w:pPr>
        <w:spacing w:before="33"/>
        <w:ind w:left="103" w:right="0" w:firstLine="0"/>
        <w:jc w:val="left"/>
        <w:rPr>
          <w:sz w:val="26"/>
        </w:rPr>
      </w:pPr>
      <w:r>
        <w:rPr>
          <w:b/>
          <w:sz w:val="26"/>
        </w:rPr>
        <w:t>Recommendation:</w:t>
      </w:r>
      <w:r>
        <w:rPr>
          <w:b/>
          <w:spacing w:val="-2"/>
          <w:sz w:val="26"/>
        </w:rPr>
        <w:t> </w:t>
      </w:r>
      <w:r>
        <w:rPr>
          <w:sz w:val="26"/>
        </w:rPr>
        <w:t>Approve,</w:t>
      </w:r>
      <w:r>
        <w:rPr>
          <w:spacing w:val="-1"/>
          <w:sz w:val="26"/>
        </w:rPr>
        <w:t> </w:t>
      </w:r>
      <w:r>
        <w:rPr>
          <w:sz w:val="26"/>
        </w:rPr>
        <w:t>pursuant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the</w:t>
      </w:r>
      <w:r>
        <w:rPr>
          <w:spacing w:val="-1"/>
          <w:sz w:val="26"/>
        </w:rPr>
        <w:t> </w:t>
      </w:r>
      <w:r>
        <w:rPr>
          <w:sz w:val="26"/>
        </w:rPr>
        <w:t>Committee’s</w:t>
      </w:r>
      <w:r>
        <w:rPr>
          <w:spacing w:val="-1"/>
          <w:sz w:val="26"/>
        </w:rPr>
        <w:t> </w:t>
      </w:r>
      <w:r>
        <w:rPr>
          <w:sz w:val="26"/>
        </w:rPr>
        <w:t>preferences,</w:t>
      </w:r>
      <w:r>
        <w:rPr>
          <w:spacing w:val="-1"/>
          <w:sz w:val="26"/>
        </w:rPr>
        <w:t> </w:t>
      </w:r>
      <w:r>
        <w:rPr>
          <w:sz w:val="26"/>
        </w:rPr>
        <w:t>either:</w:t>
      </w:r>
    </w:p>
    <w:p>
      <w:pPr>
        <w:pStyle w:val="ListParagraph"/>
        <w:numPr>
          <w:ilvl w:val="0"/>
          <w:numId w:val="2"/>
        </w:numPr>
        <w:tabs>
          <w:tab w:pos="361" w:val="left" w:leader="none"/>
        </w:tabs>
        <w:spacing w:line="240" w:lineRule="auto" w:before="32" w:after="0"/>
        <w:ind w:left="360" w:right="0" w:hanging="258"/>
        <w:jc w:val="left"/>
        <w:rPr>
          <w:sz w:val="26"/>
        </w:rPr>
      </w:pPr>
      <w:r>
        <w:rPr>
          <w:sz w:val="26"/>
        </w:rPr>
        <w:t>The</w:t>
      </w:r>
      <w:r>
        <w:rPr>
          <w:spacing w:val="-1"/>
          <w:sz w:val="26"/>
        </w:rPr>
        <w:t> </w:t>
      </w:r>
      <w:r>
        <w:rPr>
          <w:sz w:val="26"/>
        </w:rPr>
        <w:t>continued use of the incumbent ISS Benchmark Policy; or</w:t>
      </w:r>
    </w:p>
    <w:p>
      <w:pPr>
        <w:pStyle w:val="ListParagraph"/>
        <w:numPr>
          <w:ilvl w:val="0"/>
          <w:numId w:val="2"/>
        </w:numPr>
        <w:tabs>
          <w:tab w:pos="361" w:val="left" w:leader="none"/>
        </w:tabs>
        <w:spacing w:line="240" w:lineRule="auto" w:before="33" w:after="0"/>
        <w:ind w:left="360" w:right="0" w:hanging="258"/>
        <w:jc w:val="left"/>
        <w:rPr>
          <w:sz w:val="26"/>
        </w:rPr>
      </w:pPr>
      <w:r>
        <w:rPr>
          <w:sz w:val="26"/>
        </w:rPr>
        <w:t>The</w:t>
      </w:r>
      <w:r>
        <w:rPr>
          <w:spacing w:val="-1"/>
          <w:sz w:val="26"/>
        </w:rPr>
        <w:t> </w:t>
      </w:r>
      <w:r>
        <w:rPr>
          <w:sz w:val="26"/>
        </w:rPr>
        <w:t>adoption of the ISS</w:t>
      </w:r>
      <w:r>
        <w:rPr>
          <w:spacing w:val="-1"/>
          <w:sz w:val="26"/>
        </w:rPr>
        <w:t> </w:t>
      </w:r>
      <w:r>
        <w:rPr>
          <w:sz w:val="26"/>
        </w:rPr>
        <w:t>Public Fund Policy for voting</w:t>
      </w:r>
      <w:r>
        <w:rPr>
          <w:spacing w:val="-1"/>
          <w:sz w:val="26"/>
        </w:rPr>
        <w:t> </w:t>
      </w:r>
      <w:r>
        <w:rPr>
          <w:sz w:val="26"/>
        </w:rPr>
        <w:t>proxies.</w:t>
      </w:r>
    </w:p>
    <w:p>
      <w:pPr>
        <w:pStyle w:val="BodyText"/>
        <w:rPr>
          <w:sz w:val="31"/>
        </w:rPr>
      </w:pPr>
    </w:p>
    <w:p>
      <w:pPr>
        <w:pStyle w:val="Heading1"/>
        <w:ind w:left="3160"/>
      </w:pPr>
      <w:r>
        <w:rPr/>
        <w:t>INFORMATION ITEMS</w:t>
      </w:r>
    </w:p>
    <w:p>
      <w:pPr>
        <w:pStyle w:val="BodyText"/>
        <w:rPr>
          <w:b/>
          <w:sz w:val="31"/>
        </w:rPr>
      </w:pPr>
    </w:p>
    <w:p>
      <w:pPr>
        <w:pStyle w:val="ListParagraph"/>
        <w:numPr>
          <w:ilvl w:val="1"/>
          <w:numId w:val="3"/>
        </w:numPr>
        <w:tabs>
          <w:tab w:pos="633" w:val="left" w:leader="none"/>
          <w:tab w:pos="634" w:val="left" w:leader="none"/>
        </w:tabs>
        <w:spacing w:line="240" w:lineRule="auto" w:before="0" w:after="0"/>
        <w:ind w:left="737" w:right="5324" w:hanging="738"/>
        <w:jc w:val="right"/>
        <w:rPr>
          <w:b/>
          <w:sz w:val="26"/>
        </w:rPr>
      </w:pPr>
      <w:r>
        <w:rPr>
          <w:b/>
          <w:sz w:val="26"/>
        </w:rPr>
        <w:t>REPORTS – PORTFOLIO ACTIVITY &amp;</w:t>
      </w:r>
      <w:r>
        <w:rPr>
          <w:b/>
          <w:spacing w:val="1"/>
          <w:sz w:val="26"/>
        </w:rPr>
        <w:t> </w:t>
      </w:r>
      <w:r>
        <w:rPr>
          <w:b/>
          <w:sz w:val="26"/>
        </w:rPr>
        <w:t>COMPLIANCE</w:t>
      </w:r>
    </w:p>
    <w:p>
      <w:pPr>
        <w:pStyle w:val="BodyText"/>
        <w:spacing w:before="33"/>
        <w:ind w:left="103"/>
      </w:pPr>
      <w:r>
        <w:rPr/>
        <w:t>Written</w:t>
      </w:r>
      <w:r>
        <w:rPr>
          <w:spacing w:val="-3"/>
        </w:rPr>
        <w:t> </w:t>
      </w:r>
      <w:r>
        <w:rPr/>
        <w:t>report</w:t>
      </w:r>
      <w:r>
        <w:rPr>
          <w:spacing w:val="-3"/>
        </w:rPr>
        <w:t> </w:t>
      </w:r>
      <w:r>
        <w:rPr/>
        <w:t>only</w:t>
      </w:r>
    </w:p>
    <w:p>
      <w:pPr>
        <w:pStyle w:val="Heading1"/>
        <w:numPr>
          <w:ilvl w:val="1"/>
          <w:numId w:val="3"/>
        </w:numPr>
        <w:tabs>
          <w:tab w:pos="737" w:val="left" w:leader="none"/>
          <w:tab w:pos="738" w:val="left" w:leader="none"/>
        </w:tabs>
        <w:spacing w:line="240" w:lineRule="auto" w:before="32" w:after="0"/>
        <w:ind w:left="737" w:right="0" w:hanging="635"/>
        <w:jc w:val="left"/>
      </w:pPr>
      <w:r>
        <w:rPr/>
        <w:t>MEKETA ECONOMIC OUTLOOK</w:t>
      </w:r>
    </w:p>
    <w:p>
      <w:pPr>
        <w:pStyle w:val="BodyText"/>
        <w:spacing w:before="33"/>
        <w:ind w:left="103"/>
      </w:pPr>
      <w:r>
        <w:rPr/>
        <w:t>Written</w:t>
      </w:r>
      <w:r>
        <w:rPr>
          <w:spacing w:val="-3"/>
        </w:rPr>
        <w:t> </w:t>
      </w:r>
      <w:r>
        <w:rPr/>
        <w:t>report</w:t>
      </w:r>
      <w:r>
        <w:rPr>
          <w:spacing w:val="-3"/>
        </w:rPr>
        <w:t> </w:t>
      </w:r>
      <w:r>
        <w:rPr/>
        <w:t>only</w:t>
      </w:r>
    </w:p>
    <w:p>
      <w:pPr>
        <w:pStyle w:val="Heading1"/>
        <w:numPr>
          <w:ilvl w:val="1"/>
          <w:numId w:val="3"/>
        </w:numPr>
        <w:tabs>
          <w:tab w:pos="444" w:val="left" w:leader="none"/>
        </w:tabs>
        <w:spacing w:line="240" w:lineRule="auto" w:before="33" w:after="0"/>
        <w:ind w:left="443" w:right="0" w:hanging="341"/>
        <w:jc w:val="left"/>
      </w:pPr>
      <w:r>
        <w:rPr/>
        <w:t>MANAGER SELECTIONS &amp; TERMINATIONS REPORT</w:t>
      </w:r>
    </w:p>
    <w:p>
      <w:pPr>
        <w:pStyle w:val="BodyText"/>
        <w:spacing w:before="32"/>
        <w:ind w:left="103"/>
      </w:pPr>
      <w:r>
        <w:rPr/>
        <w:t>Presentation</w:t>
      </w:r>
      <w:r>
        <w:rPr>
          <w:spacing w:val="-1"/>
        </w:rPr>
        <w:t> </w:t>
      </w:r>
      <w:r>
        <w:rPr/>
        <w:t>by Molly A. Murphy, CFA, CIO, OCERS</w:t>
      </w:r>
    </w:p>
    <w:p>
      <w:pPr>
        <w:pStyle w:val="Heading1"/>
        <w:numPr>
          <w:ilvl w:val="1"/>
          <w:numId w:val="3"/>
        </w:numPr>
        <w:tabs>
          <w:tab w:pos="444" w:val="left" w:leader="none"/>
        </w:tabs>
        <w:spacing w:line="240" w:lineRule="auto" w:before="33" w:after="0"/>
        <w:ind w:left="443" w:right="0" w:hanging="341"/>
        <w:jc w:val="left"/>
      </w:pPr>
      <w:r>
        <w:rPr/>
        <w:t>3rd QUARTER 2018 PORTFOLIO EVALUATION REPORT</w:t>
      </w:r>
    </w:p>
    <w:p>
      <w:pPr>
        <w:pStyle w:val="BodyText"/>
        <w:spacing w:before="32"/>
        <w:ind w:left="103"/>
      </w:pPr>
      <w:r>
        <w:rPr/>
        <w:t>Presentation</w:t>
      </w:r>
      <w:r>
        <w:rPr>
          <w:spacing w:val="-1"/>
        </w:rPr>
        <w:t> </w:t>
      </w:r>
      <w:r>
        <w:rPr/>
        <w:t>by Stephen McCourt, CFA &amp; Laura Wirick, CFA, CAIA, Meketa</w:t>
      </w:r>
    </w:p>
    <w:p>
      <w:pPr>
        <w:pStyle w:val="Heading1"/>
        <w:numPr>
          <w:ilvl w:val="1"/>
          <w:numId w:val="3"/>
        </w:numPr>
        <w:tabs>
          <w:tab w:pos="737" w:val="left" w:leader="none"/>
          <w:tab w:pos="738" w:val="left" w:leader="none"/>
        </w:tabs>
        <w:spacing w:line="240" w:lineRule="auto" w:before="33" w:after="0"/>
        <w:ind w:left="737" w:right="0" w:hanging="635"/>
        <w:jc w:val="left"/>
      </w:pPr>
      <w:r>
        <w:rPr/>
        <w:t>ENERGY UPDATE</w:t>
      </w:r>
    </w:p>
    <w:p>
      <w:pPr>
        <w:pStyle w:val="BodyText"/>
        <w:spacing w:before="32"/>
        <w:ind w:left="103"/>
      </w:pPr>
      <w:r>
        <w:rPr/>
        <w:t>Presentation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Robert</w:t>
      </w:r>
      <w:r>
        <w:rPr>
          <w:spacing w:val="-2"/>
        </w:rPr>
        <w:t> </w:t>
      </w:r>
      <w:r>
        <w:rPr/>
        <w:t>Sinnott,</w:t>
      </w:r>
      <w:r>
        <w:rPr>
          <w:spacing w:val="57"/>
        </w:rPr>
        <w:t> </w:t>
      </w:r>
      <w:r>
        <w:rPr/>
        <w:t>Kayne</w:t>
      </w:r>
      <w:r>
        <w:rPr>
          <w:spacing w:val="-2"/>
        </w:rPr>
        <w:t> </w:t>
      </w:r>
      <w:r>
        <w:rPr/>
        <w:t>Anderson</w:t>
      </w:r>
    </w:p>
    <w:p>
      <w:pPr>
        <w:pStyle w:val="BodyText"/>
        <w:rPr>
          <w:sz w:val="31"/>
        </w:rPr>
      </w:pPr>
    </w:p>
    <w:p>
      <w:pPr>
        <w:pStyle w:val="Heading1"/>
        <w:spacing w:before="1"/>
      </w:pPr>
      <w:r>
        <w:rPr/>
        <w:t>COMMITTEE MEMBER COMMENTS</w:t>
      </w:r>
    </w:p>
    <w:p>
      <w:pPr>
        <w:spacing w:line="264" w:lineRule="auto" w:before="32"/>
        <w:ind w:left="103" w:right="1505" w:firstLine="0"/>
        <w:jc w:val="left"/>
        <w:rPr>
          <w:b/>
          <w:sz w:val="26"/>
        </w:rPr>
      </w:pPr>
      <w:r>
        <w:rPr>
          <w:b/>
          <w:sz w:val="26"/>
        </w:rPr>
        <w:t>CHIEF EXECUTIVE OFFICER/CHIEF INVESTMENT OFFICER/STAFF/CONSULTANT COMMENTS</w:t>
      </w:r>
      <w:r>
        <w:rPr>
          <w:b/>
          <w:spacing w:val="-56"/>
          <w:sz w:val="26"/>
        </w:rPr>
        <w:t> </w:t>
      </w:r>
      <w:r>
        <w:rPr>
          <w:b/>
          <w:sz w:val="26"/>
        </w:rPr>
        <w:t>COUNSEL COMMENTS</w:t>
      </w:r>
    </w:p>
    <w:p>
      <w:pPr>
        <w:pStyle w:val="Heading1"/>
        <w:spacing w:before="2"/>
      </w:pPr>
      <w:r>
        <w:rPr/>
        <w:t>ADJOURNMENT</w:t>
      </w:r>
    </w:p>
    <w:p>
      <w:pPr>
        <w:pStyle w:val="BodyText"/>
        <w:spacing w:before="2"/>
        <w:rPr>
          <w:b/>
          <w:sz w:val="22"/>
        </w:rPr>
      </w:pPr>
    </w:p>
    <w:p>
      <w:pPr>
        <w:spacing w:before="59"/>
        <w:ind w:left="2436" w:right="2445" w:firstLine="0"/>
        <w:jc w:val="center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480" w:bottom="0" w:left="280" w:right="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upperRoman"/>
      <w:lvlText w:val="%1"/>
      <w:lvlJc w:val="left"/>
      <w:pPr>
        <w:ind w:left="737" w:hanging="63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737" w:hanging="634"/>
        <w:jc w:val="left"/>
      </w:pPr>
      <w:rPr>
        <w:rFonts w:hint="default" w:ascii="Calibri" w:hAnsi="Calibri" w:eastAsia="Calibri" w:cs="Calibri"/>
        <w:b/>
        <w:bCs/>
        <w:w w:val="100"/>
        <w:sz w:val="26"/>
        <w:szCs w:val="2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57" w:hanging="63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16" w:hanging="63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975" w:hanging="63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034" w:hanging="63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092" w:hanging="63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1" w:hanging="63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10" w:hanging="634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60" w:hanging="257"/>
        <w:jc w:val="left"/>
      </w:pPr>
      <w:rPr>
        <w:rFonts w:hint="default" w:ascii="Calibri" w:hAnsi="Calibri" w:eastAsia="Calibri" w:cs="Calibri"/>
        <w:w w:val="100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56" w:hanging="25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53" w:hanging="25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50" w:hanging="25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7" w:hanging="25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44" w:hanging="25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40" w:hanging="25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37" w:hanging="25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34" w:hanging="257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"/>
      <w:lvlJc w:val="left"/>
      <w:pPr>
        <w:ind w:left="531" w:hanging="42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-%2"/>
      <w:lvlJc w:val="left"/>
      <w:pPr>
        <w:ind w:left="531" w:hanging="428"/>
        <w:jc w:val="left"/>
      </w:pPr>
      <w:rPr>
        <w:rFonts w:hint="default" w:ascii="Calibri" w:hAnsi="Calibri" w:eastAsia="Calibri" w:cs="Calibri"/>
        <w:b/>
        <w:bCs/>
        <w:w w:val="100"/>
        <w:sz w:val="26"/>
        <w:szCs w:val="2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97" w:hanging="4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76" w:hanging="4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55" w:hanging="4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34" w:hanging="4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012" w:hanging="4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91" w:hanging="4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70" w:hanging="428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4"/>
    </w:pPr>
    <w:rPr>
      <w:rFonts w:ascii="Calibri" w:hAnsi="Calibri" w:eastAsia="Calibri" w:cs="Calibri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3"/>
      <w:outlineLvl w:val="1"/>
    </w:pPr>
    <w:rPr>
      <w:rFonts w:ascii="Calibri" w:hAnsi="Calibri" w:eastAsia="Calibri" w:cs="Calibri"/>
      <w:b/>
      <w:bCs/>
      <w:sz w:val="26"/>
      <w:szCs w:val="2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64" w:lineRule="exact"/>
      <w:ind w:left="2436" w:right="2484"/>
      <w:jc w:val="center"/>
    </w:pPr>
    <w:rPr>
      <w:rFonts w:ascii="Calibri" w:hAnsi="Calibri" w:eastAsia="Calibri" w:cs="Calibri"/>
      <w:b/>
      <w:bCs/>
      <w:sz w:val="48"/>
      <w:szCs w:val="4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33"/>
      <w:ind w:left="737" w:hanging="635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2022-11-02T12:39:14Z</dcterms:created>
  <dcterms:modified xsi:type="dcterms:W3CDTF">2022-11-02T12:39:14Z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